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9CFC" w14:textId="77777777" w:rsidR="00BA1810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 xml:space="preserve">LUCIÓN DEL </w:t>
      </w:r>
      <w:r w:rsidR="00BA1810" w:rsidRPr="006C76CB">
        <w:rPr>
          <w:rFonts w:ascii="Palatino Linotype" w:hAnsi="Palatino Linotype" w:cs="Tahoma"/>
          <w:b/>
        </w:rPr>
        <w:t>RECURSO DE REVISIÓN 03</w:t>
      </w:r>
      <w:r w:rsidR="00BA1810">
        <w:rPr>
          <w:rFonts w:ascii="Palatino Linotype" w:hAnsi="Palatino Linotype" w:cs="Tahoma"/>
          <w:b/>
        </w:rPr>
        <w:t>759</w:t>
      </w:r>
      <w:r w:rsidR="00BA1810" w:rsidRPr="006C76CB">
        <w:rPr>
          <w:rFonts w:ascii="Palatino Linotype" w:hAnsi="Palatino Linotype" w:cs="Tahoma"/>
          <w:b/>
        </w:rPr>
        <w:t>/INFOEM/IP/RR/2018, PROMOVIDO EN CONTRA DE</w:t>
      </w:r>
      <w:r w:rsidR="00BA1810">
        <w:rPr>
          <w:rFonts w:ascii="Palatino Linotype" w:hAnsi="Palatino Linotype" w:cs="Tahoma"/>
          <w:b/>
        </w:rPr>
        <w:t xml:space="preserve"> LA </w:t>
      </w:r>
      <w:r w:rsidR="002A358E">
        <w:rPr>
          <w:rFonts w:ascii="Palatino Linotype" w:hAnsi="Palatino Linotype" w:cs="Tahoma"/>
          <w:b/>
        </w:rPr>
        <w:t xml:space="preserve">SECRETARÍA GENERAL DE GOBIERNO Y OTROS. </w:t>
      </w:r>
    </w:p>
    <w:p w14:paraId="66FB5705" w14:textId="77777777" w:rsidR="002A358E" w:rsidRPr="006C76CB" w:rsidRDefault="002A358E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346552C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C76CB">
        <w:rPr>
          <w:rFonts w:ascii="Palatino Linotype" w:hAnsi="Palatino Linotype" w:cs="Tahoma"/>
          <w:b/>
        </w:rPr>
        <w:t>Voto Particular</w:t>
      </w:r>
      <w:r w:rsidRPr="006C76CB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6C76CB">
        <w:rPr>
          <w:rFonts w:ascii="Palatino Linotype" w:hAnsi="Palatino Linotype" w:cs="Tahoma"/>
        </w:rPr>
        <w:t>0</w:t>
      </w:r>
      <w:r w:rsidR="00EC6DDF" w:rsidRPr="006C76CB">
        <w:rPr>
          <w:rFonts w:ascii="Palatino Linotype" w:hAnsi="Palatino Linotype" w:cs="Tahoma"/>
        </w:rPr>
        <w:t>3</w:t>
      </w:r>
      <w:r w:rsidR="00BA1810">
        <w:rPr>
          <w:rFonts w:ascii="Palatino Linotype" w:hAnsi="Palatino Linotype" w:cs="Tahoma"/>
        </w:rPr>
        <w:t>759</w:t>
      </w:r>
      <w:r w:rsidR="002A358E">
        <w:rPr>
          <w:rFonts w:ascii="Palatino Linotype" w:hAnsi="Palatino Linotype" w:cs="Tahoma"/>
        </w:rPr>
        <w:t>/</w:t>
      </w:r>
      <w:r w:rsidR="00D50D8F" w:rsidRPr="006C76CB">
        <w:rPr>
          <w:rFonts w:ascii="Palatino Linotype" w:hAnsi="Palatino Linotype" w:cs="Tahoma"/>
        </w:rPr>
        <w:t>INFOEM/IP/RR/2018</w:t>
      </w:r>
      <w:r w:rsidR="00BA1810">
        <w:rPr>
          <w:rFonts w:ascii="Palatino Linotype" w:hAnsi="Palatino Linotype" w:cs="Tahoma"/>
        </w:rPr>
        <w:t xml:space="preserve"> y acumulados. </w:t>
      </w:r>
    </w:p>
    <w:p w14:paraId="4C3E6A93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18B7155" w14:textId="1ADA34C1" w:rsidR="00755B2F" w:rsidRPr="008077D0" w:rsidRDefault="00EA7E26" w:rsidP="006C76CB">
      <w:pPr>
        <w:spacing w:after="0" w:line="360" w:lineRule="auto"/>
        <w:jc w:val="both"/>
        <w:rPr>
          <w:rFonts w:ascii="Palatino Linotype" w:hAnsi="Palatino Linotype" w:cs="Tahoma"/>
          <w:lang w:val="es-ES_tradnl"/>
        </w:rPr>
      </w:pPr>
      <w:r w:rsidRPr="006C76CB">
        <w:rPr>
          <w:rFonts w:ascii="Palatino Linotype" w:hAnsi="Palatino Linotype" w:cs="Tahoma"/>
        </w:rPr>
        <w:t>C</w:t>
      </w:r>
      <w:r w:rsidR="009E0861" w:rsidRPr="006C76CB">
        <w:rPr>
          <w:rFonts w:ascii="Palatino Linotype" w:hAnsi="Palatino Linotype" w:cs="Tahoma"/>
        </w:rPr>
        <w:t xml:space="preserve">omo se desprende de la resolución </w:t>
      </w:r>
      <w:r w:rsidRPr="006C76CB">
        <w:rPr>
          <w:rFonts w:ascii="Palatino Linotype" w:hAnsi="Palatino Linotype" w:cs="Tahoma"/>
        </w:rPr>
        <w:t>que nos ocupa</w:t>
      </w:r>
      <w:r w:rsidR="009E0861" w:rsidRPr="006C76CB">
        <w:rPr>
          <w:rFonts w:ascii="Palatino Linotype" w:hAnsi="Palatino Linotype" w:cs="Tahoma"/>
        </w:rPr>
        <w:t>, el solicitante, requirió</w:t>
      </w:r>
      <w:r w:rsidR="00243617" w:rsidRPr="006C76CB">
        <w:rPr>
          <w:rFonts w:ascii="Palatino Linotype" w:hAnsi="Palatino Linotype" w:cs="Tahoma"/>
        </w:rPr>
        <w:t xml:space="preserve"> </w:t>
      </w:r>
      <w:r w:rsidR="002A358E">
        <w:rPr>
          <w:rFonts w:ascii="Palatino Linotype" w:hAnsi="Palatino Linotype" w:cs="Tahoma"/>
        </w:rPr>
        <w:t xml:space="preserve">a diversos Sujetos Obligados </w:t>
      </w:r>
      <w:r w:rsidR="00755B2F">
        <w:rPr>
          <w:rFonts w:ascii="Palatino Linotype" w:hAnsi="Palatino Linotype" w:cs="Tahoma"/>
        </w:rPr>
        <w:t>entre ellos a la Secretaria de Salud</w:t>
      </w:r>
      <w:r w:rsidR="00831415">
        <w:rPr>
          <w:rFonts w:ascii="Palatino Linotype" w:hAnsi="Palatino Linotype" w:cs="Tahoma"/>
        </w:rPr>
        <w:t>,</w:t>
      </w:r>
      <w:r w:rsidR="00755B2F">
        <w:rPr>
          <w:rFonts w:ascii="Palatino Linotype" w:hAnsi="Palatino Linotype" w:cs="Tahoma"/>
        </w:rPr>
        <w:t xml:space="preserve"> </w:t>
      </w:r>
      <w:r w:rsidR="00243617" w:rsidRPr="006C76CB">
        <w:rPr>
          <w:rFonts w:ascii="Palatino Linotype" w:hAnsi="Palatino Linotype" w:cs="Tahoma"/>
        </w:rPr>
        <w:t xml:space="preserve">acceso a </w:t>
      </w:r>
      <w:r w:rsidR="00831415">
        <w:rPr>
          <w:rFonts w:ascii="Palatino Linotype" w:hAnsi="Palatino Linotype" w:cs="Tahoma"/>
        </w:rPr>
        <w:t xml:space="preserve">la </w:t>
      </w:r>
      <w:bookmarkStart w:id="0" w:name="_GoBack"/>
      <w:bookmarkEnd w:id="0"/>
      <w:r w:rsidR="00243617" w:rsidRPr="006C76CB">
        <w:rPr>
          <w:rFonts w:ascii="Palatino Linotype" w:hAnsi="Palatino Linotype" w:cs="Tahoma"/>
        </w:rPr>
        <w:t xml:space="preserve">información </w:t>
      </w:r>
      <w:r w:rsidR="00223F64" w:rsidRPr="006C76CB">
        <w:rPr>
          <w:rFonts w:ascii="Palatino Linotype" w:hAnsi="Palatino Linotype" w:cs="Tahoma"/>
        </w:rPr>
        <w:t>sobre</w:t>
      </w:r>
      <w:r w:rsidR="008077D0">
        <w:rPr>
          <w:rFonts w:ascii="Palatino Linotype" w:hAnsi="Palatino Linotype" w:cs="Tahoma"/>
        </w:rPr>
        <w:t xml:space="preserve"> </w:t>
      </w:r>
      <w:r w:rsidR="008077D0">
        <w:rPr>
          <w:rFonts w:ascii="Palatino Linotype" w:hAnsi="Palatino Linotype" w:cs="Tahoma"/>
          <w:lang w:val="es-ES_tradnl"/>
        </w:rPr>
        <w:t xml:space="preserve">la </w:t>
      </w:r>
      <w:r w:rsidR="008077D0" w:rsidRPr="008077D0">
        <w:rPr>
          <w:rFonts w:ascii="Palatino Linotype" w:hAnsi="Palatino Linotype" w:cs="Tahoma"/>
          <w:i/>
          <w:lang w:val="es-ES_tradnl"/>
        </w:rPr>
        <w:t>declaración 3 de 3, de quienes estén de acuerdo en publicitarla; del titular de la Secretaría de Seguridad Pública, su declaración patrimonial; servidor público que detenta la posesión de la camioneta blindada marca Jeep con valor de 1.7 millones de pesos; declaraciones patrimoniales de todos los contralores internos del Estado de México, así como los titulares de todas las Secretarias, Gubernatura, Poder Judicial, Poder Legislativo, Oficiales Mayores o Directores de Administración; la misma documentación antes referida del Poder Judicial y Poder Legislativo; y, de un Testigo Social, se solicita los documentos soporte de su informe, rendido al Contralor del Estado, funcionarios de la Secretaria de Finanzas y al Oficial Mayor de la Secretaría de Seguridad Pública, referente a la licitación señalada, así como su contrato y su salario</w:t>
      </w:r>
      <w:r w:rsidR="0047538D" w:rsidRPr="006C76CB">
        <w:rPr>
          <w:rFonts w:ascii="Palatino Linotype" w:hAnsi="Palatino Linotype" w:cs="Tahoma"/>
        </w:rPr>
        <w:t xml:space="preserve">, en la Resolución se determinó </w:t>
      </w:r>
      <w:r w:rsidR="008077D0">
        <w:rPr>
          <w:rFonts w:ascii="Palatino Linotype" w:hAnsi="Palatino Linotype" w:cs="Tahoma"/>
        </w:rPr>
        <w:t xml:space="preserve">confirmar la incompetencia de la </w:t>
      </w:r>
      <w:r w:rsidR="008077D0">
        <w:rPr>
          <w:rFonts w:ascii="Palatino Linotype" w:hAnsi="Palatino Linotype" w:cs="Tahoma"/>
        </w:rPr>
        <w:lastRenderedPageBreak/>
        <w:t xml:space="preserve">Secretaría de Salud </w:t>
      </w:r>
      <w:r w:rsidR="0047538D" w:rsidRPr="006C76CB">
        <w:rPr>
          <w:rFonts w:ascii="Palatino Linotype" w:hAnsi="Palatino Linotype" w:cs="Tahoma"/>
        </w:rPr>
        <w:t xml:space="preserve">para poseer en sus archivos la información solicita y se instruye haga entrega de: </w:t>
      </w:r>
      <w:r w:rsidR="00755B2F" w:rsidRPr="00755B2F">
        <w:rPr>
          <w:rFonts w:ascii="Palatino Linotype" w:hAnsi="Palatino Linotype" w:cs="Tahoma"/>
          <w:i/>
        </w:rPr>
        <w:t>Acuerdo emitido por el Comité de Transparencia mediante el cual se sustente la declinación de competencia para atender la solicitud de acceso a la información 00309/SSALUD/IP/2018</w:t>
      </w:r>
      <w:r w:rsidR="00755B2F">
        <w:rPr>
          <w:rFonts w:ascii="Palatino Linotype" w:hAnsi="Palatino Linotype" w:cs="Tahoma"/>
          <w:i/>
        </w:rPr>
        <w:t xml:space="preserve">. </w:t>
      </w:r>
    </w:p>
    <w:p w14:paraId="2D877AE2" w14:textId="77777777" w:rsidR="00755B2F" w:rsidRDefault="00755B2F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</w:p>
    <w:p w14:paraId="41820200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Comisionad</w:t>
      </w:r>
      <w:r w:rsidR="00962B86" w:rsidRPr="006C76CB">
        <w:rPr>
          <w:rFonts w:ascii="Palatino Linotype" w:hAnsi="Palatino Linotype" w:cs="Tahoma"/>
        </w:rPr>
        <w:t>o</w:t>
      </w:r>
      <w:r w:rsidRPr="006C76CB">
        <w:rPr>
          <w:rFonts w:ascii="Palatino Linotype" w:hAnsi="Palatino Linotype" w:cs="Tahoma"/>
        </w:rPr>
        <w:t xml:space="preserve"> Ponente, que permiten dilucidar con claridad que 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6C76CB">
        <w:rPr>
          <w:rFonts w:ascii="Palatino Linotype" w:hAnsi="Palatino Linotype" w:cs="Tahoma"/>
        </w:rPr>
        <w:t xml:space="preserve"> precisada y</w:t>
      </w:r>
      <w:r w:rsidRPr="006C76CB">
        <w:rPr>
          <w:rFonts w:ascii="Palatino Linotype" w:hAnsi="Palatino Linotype" w:cs="Tahoma"/>
        </w:rPr>
        <w:t xml:space="preserve"> que interesa al ahora recurrente</w:t>
      </w:r>
      <w:r w:rsidR="00412CB2" w:rsidRPr="006C76CB">
        <w:rPr>
          <w:rFonts w:ascii="Palatino Linotype" w:hAnsi="Palatino Linotype" w:cs="Tahoma"/>
        </w:rPr>
        <w:t>;</w:t>
      </w:r>
      <w:r w:rsidRPr="006C76CB">
        <w:rPr>
          <w:rFonts w:ascii="Palatino Linotype" w:hAnsi="Palatino Linotype" w:cs="Tahoma"/>
        </w:rPr>
        <w:t xml:space="preserve"> sin embargo</w:t>
      </w:r>
      <w:r w:rsidR="0010688C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difiero en la instrucción conten</w:t>
      </w:r>
      <w:r w:rsidR="0010688C" w:rsidRPr="006C76CB">
        <w:rPr>
          <w:rFonts w:ascii="Palatino Linotype" w:hAnsi="Palatino Linotype" w:cs="Tahoma"/>
        </w:rPr>
        <w:t>ida</w:t>
      </w:r>
      <w:r w:rsidRPr="006C76CB">
        <w:rPr>
          <w:rFonts w:ascii="Palatino Linotype" w:hAnsi="Palatino Linotype" w:cs="Tahoma"/>
        </w:rPr>
        <w:t xml:space="preserve"> en</w:t>
      </w:r>
      <w:r w:rsidR="00246FAF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la </w:t>
      </w:r>
      <w:r w:rsidR="0010688C" w:rsidRPr="006C76CB">
        <w:rPr>
          <w:rFonts w:ascii="Palatino Linotype" w:hAnsi="Palatino Linotype" w:cs="Tahoma"/>
        </w:rPr>
        <w:t>R</w:t>
      </w:r>
      <w:r w:rsidRPr="006C76CB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6C76CB">
        <w:rPr>
          <w:rFonts w:ascii="Palatino Linotype" w:hAnsi="Palatino Linotype" w:cs="Tahoma"/>
        </w:rPr>
        <w:t xml:space="preserve"> del </w:t>
      </w:r>
      <w:r w:rsidR="009039FE" w:rsidRPr="006C76CB">
        <w:rPr>
          <w:rFonts w:ascii="Palatino Linotype" w:hAnsi="Palatino Linotype" w:cs="Tahoma"/>
        </w:rPr>
        <w:t>Sujeto Obligado</w:t>
      </w:r>
      <w:r w:rsidR="0010688C" w:rsidRPr="006C76CB">
        <w:rPr>
          <w:rFonts w:ascii="Palatino Linotype" w:hAnsi="Palatino Linotype" w:cs="Tahoma"/>
        </w:rPr>
        <w:t xml:space="preserve"> que sesione para que </w:t>
      </w:r>
      <w:r w:rsidRPr="006C76CB">
        <w:rPr>
          <w:rFonts w:ascii="Palatino Linotype" w:hAnsi="Palatino Linotype" w:cs="Tahoma"/>
        </w:rPr>
        <w:t>emit</w:t>
      </w:r>
      <w:r w:rsidR="00962B86" w:rsidRPr="006C76CB">
        <w:rPr>
          <w:rFonts w:ascii="Palatino Linotype" w:hAnsi="Palatino Linotype" w:cs="Tahoma"/>
        </w:rPr>
        <w:t>a un Acuerdo</w:t>
      </w:r>
      <w:r w:rsidRPr="006C76CB">
        <w:rPr>
          <w:rFonts w:ascii="Palatino Linotype" w:hAnsi="Palatino Linotype" w:cs="Tahoma"/>
        </w:rPr>
        <w:t xml:space="preserve"> en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que confirme la</w:t>
      </w:r>
      <w:r w:rsidR="009F6E4A" w:rsidRPr="006C76CB">
        <w:rPr>
          <w:rFonts w:ascii="Palatino Linotype" w:hAnsi="Palatino Linotype" w:cs="Tahoma"/>
        </w:rPr>
        <w:t xml:space="preserve"> declaratoria</w:t>
      </w:r>
      <w:r w:rsidRPr="006C76CB">
        <w:rPr>
          <w:rFonts w:ascii="Palatino Linotype" w:hAnsi="Palatino Linotype" w:cs="Tahoma"/>
        </w:rPr>
        <w:t xml:space="preserve"> </w:t>
      </w:r>
      <w:r w:rsidR="009F6E4A" w:rsidRPr="006C76CB">
        <w:rPr>
          <w:rFonts w:ascii="Palatino Linotype" w:hAnsi="Palatino Linotype" w:cs="Tahoma"/>
        </w:rPr>
        <w:t xml:space="preserve">de </w:t>
      </w:r>
      <w:r w:rsidRPr="006C76CB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6C76CB">
        <w:rPr>
          <w:rFonts w:ascii="Palatino Linotype" w:hAnsi="Palatino Linotype" w:cs="Tahoma"/>
        </w:rPr>
        <w:t xml:space="preserve">genera una carga adicional al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y </w:t>
      </w:r>
      <w:r w:rsidR="00526DBD" w:rsidRPr="006C76CB">
        <w:rPr>
          <w:rFonts w:ascii="Palatino Linotype" w:hAnsi="Palatino Linotype" w:cs="Tahoma"/>
        </w:rPr>
        <w:t>ello no</w:t>
      </w:r>
      <w:r w:rsidR="008F3B5A" w:rsidRPr="006C76CB">
        <w:rPr>
          <w:rFonts w:ascii="Palatino Linotype" w:hAnsi="Palatino Linotype" w:cs="Tahoma"/>
        </w:rPr>
        <w:t xml:space="preserve"> </w:t>
      </w:r>
      <w:r w:rsidR="00526DBD" w:rsidRPr="006C76CB">
        <w:rPr>
          <w:rFonts w:ascii="Palatino Linotype" w:hAnsi="Palatino Linotype" w:cs="Tahoma"/>
        </w:rPr>
        <w:t>m</w:t>
      </w:r>
      <w:r w:rsidR="00E656C1" w:rsidRPr="006C76CB">
        <w:rPr>
          <w:rFonts w:ascii="Palatino Linotype" w:hAnsi="Palatino Linotype" w:cs="Tahoma"/>
        </w:rPr>
        <w:t>o</w:t>
      </w:r>
      <w:r w:rsidR="00526DBD" w:rsidRPr="006C76CB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6C76CB">
        <w:rPr>
          <w:rFonts w:ascii="Palatino Linotype" w:hAnsi="Palatino Linotype" w:cs="Tahoma"/>
        </w:rPr>
        <w:t>a</w:t>
      </w:r>
      <w:r w:rsidR="00526DBD" w:rsidRPr="006C76CB">
        <w:rPr>
          <w:rFonts w:ascii="Palatino Linotype" w:hAnsi="Palatino Linotype" w:cs="Tahoma"/>
        </w:rPr>
        <w:t xml:space="preserve"> la ya contenida en la Resolución que se </w:t>
      </w:r>
      <w:r w:rsidR="00246FAF" w:rsidRPr="006C76CB">
        <w:rPr>
          <w:rFonts w:ascii="Palatino Linotype" w:hAnsi="Palatino Linotype" w:cs="Tahoma"/>
        </w:rPr>
        <w:t>le notificará</w:t>
      </w:r>
      <w:r w:rsidR="00526DBD" w:rsidRPr="006C76CB">
        <w:rPr>
          <w:rFonts w:ascii="Palatino Linotype" w:hAnsi="Palatino Linotype" w:cs="Tahoma"/>
        </w:rPr>
        <w:t>.</w:t>
      </w:r>
    </w:p>
    <w:p w14:paraId="339381EF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CEC6FB0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6C76CB">
        <w:rPr>
          <w:rFonts w:ascii="Palatino Linotype" w:hAnsi="Palatino Linotype" w:cs="Tahoma"/>
        </w:rPr>
        <w:t>alizada exhaustivamente por el Pleno de este</w:t>
      </w:r>
      <w:r w:rsidRPr="006C76CB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6C76CB">
        <w:rPr>
          <w:rFonts w:ascii="Palatino Linotype" w:hAnsi="Palatino Linotype" w:cs="Tahoma"/>
        </w:rPr>
        <w:t>l Estado de México y Municipios, en sus artículos 2°, fracciones II y III, 21 y 150.</w:t>
      </w:r>
    </w:p>
    <w:p w14:paraId="55857FD0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D853656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6C76CB">
        <w:rPr>
          <w:rFonts w:ascii="Palatino Linotype" w:hAnsi="Palatino Linotype" w:cs="Tahoma"/>
        </w:rPr>
        <w:t xml:space="preserve"> en sus artículos 47 y 49, fracción II</w:t>
      </w:r>
      <w:r w:rsidRPr="006C76CB">
        <w:rPr>
          <w:rFonts w:ascii="Palatino Linotype" w:hAnsi="Palatino Linotype" w:cs="Tahoma"/>
        </w:rPr>
        <w:t>, esencialmente, lo siguiente:</w:t>
      </w:r>
    </w:p>
    <w:p w14:paraId="7A827108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9374068" w14:textId="77777777"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en materia del derecho de acceso a la información;</w:t>
      </w:r>
    </w:p>
    <w:p w14:paraId="57AEC366" w14:textId="77777777"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 los Comités de Transparencia </w:t>
      </w:r>
      <w:r w:rsidRPr="006C76CB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6C76CB">
        <w:rPr>
          <w:rFonts w:ascii="Palatino Linotype" w:hAnsi="Palatino Linotype" w:cs="Tahoma"/>
        </w:rPr>
        <w:t xml:space="preserve"> de</w:t>
      </w:r>
      <w:r w:rsidR="00BF1384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o </w:t>
      </w:r>
      <w:r w:rsidRPr="006C76CB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6C76CB">
        <w:rPr>
          <w:rFonts w:ascii="Palatino Linotype" w:hAnsi="Palatino Linotype" w:cs="Tahoma"/>
        </w:rPr>
        <w:t>.</w:t>
      </w:r>
    </w:p>
    <w:p w14:paraId="668B165D" w14:textId="77777777" w:rsidR="00447F6F" w:rsidRPr="006C76CB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14:paraId="00E5E6B9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6C76CB">
        <w:rPr>
          <w:rFonts w:ascii="Palatino Linotype" w:hAnsi="Palatino Linotype" w:cs="Tahoma"/>
          <w:u w:val="single"/>
        </w:rPr>
        <w:t>confirmar, modificar o revocar</w:t>
      </w:r>
      <w:r w:rsidRPr="006C76CB">
        <w:rPr>
          <w:rFonts w:ascii="Palatino Linotype" w:hAnsi="Palatino Linotype" w:cs="Tahoma"/>
        </w:rPr>
        <w:t xml:space="preserve"> las </w:t>
      </w:r>
      <w:r w:rsidRPr="006C76CB">
        <w:rPr>
          <w:rFonts w:ascii="Palatino Linotype" w:hAnsi="Palatino Linotype" w:cs="Tahoma"/>
          <w:u w:val="single"/>
        </w:rPr>
        <w:t>determinaciones</w:t>
      </w:r>
      <w:r w:rsidRPr="006C76CB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6C76CB">
        <w:rPr>
          <w:rFonts w:ascii="Palatino Linotype" w:hAnsi="Palatino Linotype" w:cs="Tahoma"/>
          <w:u w:val="single"/>
        </w:rPr>
        <w:t>de incompetencia</w:t>
      </w:r>
      <w:r w:rsidRPr="006C76CB">
        <w:rPr>
          <w:rFonts w:ascii="Palatino Linotype" w:hAnsi="Palatino Linotype" w:cs="Tahoma"/>
        </w:rPr>
        <w:t xml:space="preserve"> realicen los titulares de las áreas de los sujetos obligados.</w:t>
      </w:r>
    </w:p>
    <w:p w14:paraId="0ED10121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3251221" w14:textId="77777777" w:rsidR="0047538D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14:paraId="40353160" w14:textId="77777777" w:rsidR="0047538D" w:rsidRPr="006C76CB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14:paraId="53B4069B" w14:textId="77777777"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Que, cuando </w:t>
      </w:r>
      <w:r w:rsidRPr="006C76CB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6C76CB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6C76CB">
        <w:rPr>
          <w:rFonts w:ascii="Palatino Linotype" w:hAnsi="Palatino Linotype" w:cs="Tahoma"/>
          <w:b/>
        </w:rPr>
        <w:t>deberán comunicarlo al solicitante;</w:t>
      </w:r>
    </w:p>
    <w:p w14:paraId="3C6E4F7C" w14:textId="77777777"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6C76CB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6C76CB">
        <w:rPr>
          <w:rFonts w:ascii="Palatino Linotype" w:hAnsi="Palatino Linotype" w:cs="Tahoma"/>
        </w:rPr>
        <w:t>, notificando dicha resolución al solicitante; y,</w:t>
      </w:r>
    </w:p>
    <w:p w14:paraId="6EEC2674" w14:textId="77777777"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>Que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el </w:t>
      </w:r>
      <w:r w:rsidRPr="006C76CB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6C76CB">
        <w:rPr>
          <w:rFonts w:ascii="Palatino Linotype" w:hAnsi="Palatino Linotype" w:cs="Tahoma"/>
        </w:rPr>
        <w:t xml:space="preserve"> del documento y la notificara al solicitante.</w:t>
      </w:r>
    </w:p>
    <w:p w14:paraId="748C2B3F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063FA83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 pues, de lo anterior se desprende que los </w:t>
      </w:r>
      <w:r w:rsidRPr="006C76CB">
        <w:rPr>
          <w:rFonts w:ascii="Palatino Linotype" w:hAnsi="Palatino Linotype" w:cs="Tahoma"/>
          <w:b/>
        </w:rPr>
        <w:t>Comités de Transparencia</w:t>
      </w:r>
      <w:r w:rsidRPr="006C76CB">
        <w:rPr>
          <w:rFonts w:ascii="Palatino Linotype" w:hAnsi="Palatino Linotype" w:cs="Tahoma"/>
        </w:rPr>
        <w:t xml:space="preserve"> se encuentran obligados a emitir una </w:t>
      </w:r>
      <w:r w:rsidRPr="006C76CB">
        <w:rPr>
          <w:rFonts w:ascii="Palatino Linotype" w:hAnsi="Palatino Linotype" w:cs="Tahoma"/>
          <w:b/>
        </w:rPr>
        <w:t>resolución</w:t>
      </w:r>
      <w:r w:rsidRPr="006C76CB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; quedando en el ámbito de la </w:t>
      </w:r>
      <w:r w:rsidRPr="006C76CB">
        <w:rPr>
          <w:rFonts w:ascii="Palatino Linotype" w:hAnsi="Palatino Linotype" w:cs="Tahoma"/>
          <w:b/>
        </w:rPr>
        <w:t>Unidad de Transparencia la declaración de incompetencia</w:t>
      </w:r>
      <w:r w:rsidRPr="006C76CB">
        <w:rPr>
          <w:rFonts w:ascii="Palatino Linotype" w:hAnsi="Palatino Linotype" w:cs="Tahoma"/>
        </w:rPr>
        <w:t>.</w:t>
      </w:r>
    </w:p>
    <w:p w14:paraId="568E3959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93AE94B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6C76CB">
        <w:rPr>
          <w:rFonts w:ascii="Palatino Linotype" w:hAnsi="Palatino Linotype" w:cs="Tahoma"/>
        </w:rPr>
        <w:t>p</w:t>
      </w:r>
      <w:r w:rsidRPr="006C76CB">
        <w:rPr>
          <w:rFonts w:ascii="Palatino Linotype" w:hAnsi="Palatino Linotype" w:cs="Tahoma"/>
        </w:rPr>
        <w:t>timo</w:t>
      </w:r>
      <w:r w:rsidR="00BF1384" w:rsidRPr="006C76CB">
        <w:rPr>
          <w:rFonts w:ascii="Palatino Linotype" w:hAnsi="Palatino Linotype" w:cs="Tahoma"/>
        </w:rPr>
        <w:t xml:space="preserve"> de la Ley en cita</w:t>
      </w:r>
      <w:r w:rsidRPr="006C76CB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6C76CB">
        <w:rPr>
          <w:rFonts w:ascii="Palatino Linotype" w:hAnsi="Palatino Linotype" w:cs="Tahoma"/>
        </w:rPr>
        <w:t xml:space="preserve">al interior del </w:t>
      </w:r>
      <w:r w:rsidR="009039FE" w:rsidRPr="006C76CB">
        <w:rPr>
          <w:rFonts w:ascii="Palatino Linotype" w:hAnsi="Palatino Linotype" w:cs="Tahoma"/>
        </w:rPr>
        <w:t>Sujeto Obligado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6C76CB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6C76CB">
        <w:rPr>
          <w:rFonts w:ascii="Palatino Linotype" w:hAnsi="Palatino Linotype" w:cs="Tahoma"/>
        </w:rPr>
        <w:t>.</w:t>
      </w:r>
    </w:p>
    <w:p w14:paraId="5414B38B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938B868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14:paraId="5007509C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3AC60EA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6C76CB">
        <w:rPr>
          <w:rFonts w:ascii="Palatino Linotype" w:hAnsi="Palatino Linotype" w:cs="Tahoma"/>
        </w:rPr>
        <w:t>estos</w:t>
      </w:r>
      <w:r w:rsidRPr="006C76CB">
        <w:rPr>
          <w:rFonts w:ascii="Palatino Linotype" w:hAnsi="Palatino Linotype" w:cs="Tahoma"/>
        </w:rPr>
        <w:t>.</w:t>
      </w:r>
    </w:p>
    <w:p w14:paraId="470ECE98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E18720A" w14:textId="77777777" w:rsidR="009E0861" w:rsidRPr="006C76CB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si bien</w:t>
      </w:r>
      <w:r w:rsidR="00D15D07" w:rsidRPr="006C76CB">
        <w:rPr>
          <w:rFonts w:ascii="Palatino Linotype" w:hAnsi="Palatino Linotype" w:cs="Tahoma"/>
        </w:rPr>
        <w:t xml:space="preserve"> destaca</w:t>
      </w:r>
      <w:r w:rsidR="009E0861" w:rsidRPr="006C76CB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6C76CB">
        <w:rPr>
          <w:rFonts w:ascii="Palatino Linotype" w:hAnsi="Palatino Linotype" w:cs="Tahoma"/>
        </w:rPr>
        <w:t>;</w:t>
      </w:r>
      <w:r w:rsidR="009E0861" w:rsidRPr="006C76CB">
        <w:rPr>
          <w:rFonts w:ascii="Palatino Linotype" w:hAnsi="Palatino Linotype" w:cs="Tahoma"/>
        </w:rPr>
        <w:t xml:space="preserve"> lo cierto es</w:t>
      </w:r>
      <w:r w:rsidR="00D15D07" w:rsidRPr="006C76CB">
        <w:rPr>
          <w:rFonts w:ascii="Palatino Linotype" w:hAnsi="Palatino Linotype" w:cs="Tahoma"/>
        </w:rPr>
        <w:t>,</w:t>
      </w:r>
      <w:r w:rsidR="009E0861" w:rsidRPr="006C76CB">
        <w:rPr>
          <w:rFonts w:ascii="Palatino Linotype" w:hAnsi="Palatino Linotype" w:cs="Tahoma"/>
        </w:rPr>
        <w:t xml:space="preserve"> que </w:t>
      </w:r>
      <w:r w:rsidR="00A96933" w:rsidRPr="006C76CB">
        <w:rPr>
          <w:rFonts w:ascii="Palatino Linotype" w:hAnsi="Palatino Linotype" w:cs="Tahoma"/>
        </w:rPr>
        <w:t xml:space="preserve">cuando la misma deviene del marco normativo del </w:t>
      </w:r>
      <w:r w:rsidR="009039FE" w:rsidRPr="006C76CB">
        <w:rPr>
          <w:rFonts w:ascii="Palatino Linotype" w:hAnsi="Palatino Linotype" w:cs="Tahoma"/>
        </w:rPr>
        <w:t>Sujeto Obligado</w:t>
      </w:r>
      <w:r w:rsidR="00A96933" w:rsidRPr="006C76CB">
        <w:rPr>
          <w:rFonts w:ascii="Palatino Linotype" w:hAnsi="Palatino Linotype" w:cs="Tahoma"/>
        </w:rPr>
        <w:t xml:space="preserve"> y además que </w:t>
      </w:r>
      <w:r w:rsidRPr="006C76CB">
        <w:rPr>
          <w:rFonts w:ascii="Palatino Linotype" w:hAnsi="Palatino Linotype" w:cs="Tahoma"/>
        </w:rPr>
        <w:t>l</w:t>
      </w:r>
      <w:r w:rsidR="009E0861" w:rsidRPr="006C76CB">
        <w:rPr>
          <w:rFonts w:ascii="Palatino Linotype" w:hAnsi="Palatino Linotype" w:cs="Tahoma"/>
        </w:rPr>
        <w:t xml:space="preserve">a resolución elaborada por </w:t>
      </w:r>
      <w:r w:rsidR="00624DE5" w:rsidRPr="006C76CB">
        <w:rPr>
          <w:rFonts w:ascii="Palatino Linotype" w:hAnsi="Palatino Linotype" w:cs="Tahoma"/>
        </w:rPr>
        <w:t>e</w:t>
      </w:r>
      <w:r w:rsidR="009E0861" w:rsidRPr="006C76CB">
        <w:rPr>
          <w:rFonts w:ascii="Palatino Linotype" w:hAnsi="Palatino Linotype" w:cs="Tahoma"/>
        </w:rPr>
        <w:t>l Comisionad</w:t>
      </w:r>
      <w:r w:rsidR="00624DE5" w:rsidRPr="006C76CB">
        <w:rPr>
          <w:rFonts w:ascii="Palatino Linotype" w:hAnsi="Palatino Linotype" w:cs="Tahoma"/>
        </w:rPr>
        <w:t>o</w:t>
      </w:r>
      <w:r w:rsidR="009E0861" w:rsidRPr="006C76CB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6C76CB">
        <w:rPr>
          <w:rFonts w:ascii="Palatino Linotype" w:hAnsi="Palatino Linotype" w:cs="Tahoma"/>
        </w:rPr>
        <w:t>ahora recurrente</w:t>
      </w:r>
      <w:r w:rsidR="009E0861" w:rsidRPr="006C76CB">
        <w:rPr>
          <w:rFonts w:ascii="Palatino Linotype" w:hAnsi="Palatino Linotype" w:cs="Tahoma"/>
        </w:rPr>
        <w:t xml:space="preserve"> respecto de la incompetencia del </w:t>
      </w:r>
      <w:r w:rsidR="009039FE" w:rsidRPr="006C76CB">
        <w:rPr>
          <w:rFonts w:ascii="Palatino Linotype" w:hAnsi="Palatino Linotype" w:cs="Tahoma"/>
        </w:rPr>
        <w:t>Sujeto Obligado</w:t>
      </w:r>
      <w:r w:rsidR="009E0861" w:rsidRPr="006C76CB">
        <w:rPr>
          <w:rFonts w:ascii="Palatino Linotype" w:hAnsi="Palatino Linotype" w:cs="Tahoma"/>
        </w:rPr>
        <w:t xml:space="preserve"> para contar con la información </w:t>
      </w:r>
      <w:r w:rsidR="001A6BD9" w:rsidRPr="006C76CB">
        <w:rPr>
          <w:rFonts w:ascii="Palatino Linotype" w:hAnsi="Palatino Linotype" w:cs="Tahoma"/>
        </w:rPr>
        <w:t>materia de la solicitud</w:t>
      </w:r>
      <w:r w:rsidR="009E0861" w:rsidRPr="006C76CB">
        <w:rPr>
          <w:rFonts w:ascii="Palatino Linotype" w:hAnsi="Palatino Linotype" w:cs="Tahoma"/>
        </w:rPr>
        <w:t>, aunado a que</w:t>
      </w:r>
      <w:r w:rsidR="001A6BD9" w:rsidRPr="006C76CB">
        <w:rPr>
          <w:rFonts w:ascii="Palatino Linotype" w:hAnsi="Palatino Linotype" w:cs="Tahoma"/>
        </w:rPr>
        <w:t xml:space="preserve"> dicha incompetencia</w:t>
      </w:r>
      <w:r w:rsidR="009E0861" w:rsidRPr="006C76CB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6C76CB">
        <w:rPr>
          <w:rFonts w:ascii="Palatino Linotype" w:hAnsi="Palatino Linotype" w:cs="Tahoma"/>
        </w:rPr>
        <w:t xml:space="preserve">se </w:t>
      </w:r>
      <w:r w:rsidRPr="006C76CB">
        <w:rPr>
          <w:rFonts w:ascii="Palatino Linotype" w:hAnsi="Palatino Linotype" w:cs="Tahoma"/>
        </w:rPr>
        <w:t>vuelve</w:t>
      </w:r>
      <w:r w:rsidR="009E0861" w:rsidRPr="006C76CB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6C76CB">
        <w:rPr>
          <w:rFonts w:ascii="Palatino Linotype" w:hAnsi="Palatino Linotype" w:cs="Tahoma"/>
        </w:rPr>
        <w:t xml:space="preserve"> de menor jerarquía</w:t>
      </w:r>
      <w:r w:rsidR="009E0861" w:rsidRPr="006C76CB">
        <w:rPr>
          <w:rFonts w:ascii="Palatino Linotype" w:hAnsi="Palatino Linotype" w:cs="Tahoma"/>
        </w:rPr>
        <w:t>.</w:t>
      </w:r>
    </w:p>
    <w:p w14:paraId="2ADBB4CA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9B363FA" w14:textId="77777777" w:rsidR="009E0861" w:rsidRPr="006C76CB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6C76CB">
        <w:rPr>
          <w:rFonts w:ascii="Palatino Linotype" w:hAnsi="Palatino Linotype" w:cs="Tahoma"/>
          <w:spacing w:val="-4"/>
        </w:rPr>
        <w:t>Interpretar la norma en sentido</w:t>
      </w:r>
      <w:r w:rsidR="009E0861" w:rsidRPr="006C76CB">
        <w:rPr>
          <w:rFonts w:ascii="Palatino Linotype" w:hAnsi="Palatino Linotype" w:cs="Tahoma"/>
          <w:spacing w:val="-4"/>
        </w:rPr>
        <w:t xml:space="preserve"> contrario, </w:t>
      </w:r>
      <w:r w:rsidRPr="006C76CB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6C76CB">
        <w:rPr>
          <w:rFonts w:ascii="Palatino Linotype" w:hAnsi="Palatino Linotype" w:cs="Tahoma"/>
          <w:spacing w:val="-4"/>
        </w:rPr>
        <w:t xml:space="preserve">con la finalidad </w:t>
      </w:r>
      <w:r w:rsidRPr="006C76CB">
        <w:rPr>
          <w:rFonts w:ascii="Palatino Linotype" w:hAnsi="Palatino Linotype" w:cs="Tahoma"/>
          <w:spacing w:val="-4"/>
        </w:rPr>
        <w:t>emitir l</w:t>
      </w:r>
      <w:r w:rsidR="009E0861" w:rsidRPr="006C76CB">
        <w:rPr>
          <w:rFonts w:ascii="Palatino Linotype" w:hAnsi="Palatino Linotype" w:cs="Tahoma"/>
          <w:spacing w:val="-4"/>
        </w:rPr>
        <w:t xml:space="preserve">a resolución </w:t>
      </w:r>
      <w:r w:rsidRPr="006C76CB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6C76CB">
        <w:rPr>
          <w:rFonts w:ascii="Palatino Linotype" w:hAnsi="Palatino Linotype" w:cs="Tahoma"/>
          <w:spacing w:val="-4"/>
        </w:rPr>
        <w:t>sólo con la finalidad de</w:t>
      </w:r>
      <w:r w:rsidR="009E0861" w:rsidRPr="006C76CB">
        <w:rPr>
          <w:rFonts w:ascii="Palatino Linotype" w:hAnsi="Palatino Linotype" w:cs="Tahoma"/>
          <w:spacing w:val="-4"/>
        </w:rPr>
        <w:t xml:space="preserve"> que el Comité de Transparen</w:t>
      </w:r>
      <w:r w:rsidRPr="006C76CB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6C76CB">
        <w:rPr>
          <w:rFonts w:ascii="Palatino Linotype" w:hAnsi="Palatino Linotype" w:cs="Tahoma"/>
          <w:spacing w:val="-4"/>
        </w:rPr>
        <w:t>emitir el Acuerdo correspondiente</w:t>
      </w:r>
      <w:r w:rsidR="0014038B" w:rsidRPr="006C76CB">
        <w:rPr>
          <w:rFonts w:ascii="Palatino Linotype" w:hAnsi="Palatino Linotype" w:cs="Tahoma"/>
          <w:spacing w:val="-4"/>
        </w:rPr>
        <w:t>;</w:t>
      </w:r>
      <w:r w:rsidR="00245ACA" w:rsidRPr="006C76CB">
        <w:rPr>
          <w:rFonts w:ascii="Palatino Linotype" w:hAnsi="Palatino Linotype" w:cs="Tahoma"/>
          <w:spacing w:val="-4"/>
        </w:rPr>
        <w:t xml:space="preserve"> </w:t>
      </w:r>
      <w:r w:rsidR="00D45BDF" w:rsidRPr="006C76CB">
        <w:rPr>
          <w:rFonts w:ascii="Palatino Linotype" w:hAnsi="Palatino Linotype" w:cs="Tahoma"/>
          <w:spacing w:val="-4"/>
        </w:rPr>
        <w:t xml:space="preserve">situación </w:t>
      </w:r>
      <w:r w:rsidR="009E0861" w:rsidRPr="006C76CB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6C76CB">
        <w:rPr>
          <w:rFonts w:ascii="Palatino Linotype" w:hAnsi="Palatino Linotype" w:cs="Tahoma"/>
          <w:spacing w:val="-4"/>
        </w:rPr>
        <w:t xml:space="preserve">este </w:t>
      </w:r>
      <w:r w:rsidR="009E0861" w:rsidRPr="006C76CB">
        <w:rPr>
          <w:rFonts w:ascii="Palatino Linotype" w:hAnsi="Palatino Linotype" w:cs="Tahoma"/>
          <w:spacing w:val="-4"/>
        </w:rPr>
        <w:t>continua</w:t>
      </w:r>
      <w:r w:rsidR="00D45BDF" w:rsidRPr="006C76CB">
        <w:rPr>
          <w:rFonts w:ascii="Palatino Linotype" w:hAnsi="Palatino Linotype" w:cs="Tahoma"/>
          <w:spacing w:val="-4"/>
        </w:rPr>
        <w:t>rá</w:t>
      </w:r>
      <w:r w:rsidR="009E0861" w:rsidRPr="006C76CB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14:paraId="020F4950" w14:textId="77777777" w:rsidR="0036006F" w:rsidRPr="006C76CB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14:paraId="1F7C2D39" w14:textId="77777777"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Por ello, considero que los principios de sencillez y rapidez que deben regir el procedimiento de acceso a la información, tienen que ser observados en todas las </w:t>
      </w:r>
      <w:r w:rsidRPr="006C76CB">
        <w:rPr>
          <w:rFonts w:ascii="Palatino Linotype" w:hAnsi="Palatino Linotype" w:cs="Tahoma"/>
        </w:rPr>
        <w:lastRenderedPageBreak/>
        <w:t>determin</w:t>
      </w:r>
      <w:r w:rsidR="004A555E" w:rsidRPr="006C76CB">
        <w:rPr>
          <w:rFonts w:ascii="Palatino Linotype" w:hAnsi="Palatino Linotype" w:cs="Tahoma"/>
        </w:rPr>
        <w:t>aciones que tome este Instituto; e</w:t>
      </w:r>
      <w:r w:rsidRPr="006C76CB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6C76CB">
        <w:rPr>
          <w:rFonts w:ascii="Palatino Linotype" w:hAnsi="Palatino Linotype" w:cs="Tahoma"/>
        </w:rPr>
        <w:t>olicitudes de acceso y permite a</w:t>
      </w:r>
      <w:r w:rsidRPr="006C76CB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14:paraId="79DFAF29" w14:textId="77777777" w:rsidR="00767DA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54FA55E" w14:textId="77777777" w:rsidR="009E0861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con base en los razonamientos expuestos, </w:t>
      </w:r>
      <w:r w:rsidRPr="006C76CB">
        <w:rPr>
          <w:rFonts w:ascii="Palatino Linotype" w:hAnsi="Palatino Linotype" w:cs="Tahoma"/>
          <w:b/>
        </w:rPr>
        <w:t>se emite el presente Voto Particular</w:t>
      </w:r>
      <w:r w:rsidRPr="006C76CB">
        <w:rPr>
          <w:rFonts w:ascii="Palatino Linotype" w:hAnsi="Palatino Linotype" w:cs="Tahoma"/>
        </w:rPr>
        <w:t>.</w:t>
      </w:r>
    </w:p>
    <w:p w14:paraId="2B87C929" w14:textId="77777777" w:rsidR="008077D0" w:rsidRPr="006C76CB" w:rsidRDefault="008077D0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33D04B6" w14:textId="77777777"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(Rúbrica)</w:t>
      </w:r>
    </w:p>
    <w:p w14:paraId="26EA734A" w14:textId="77777777"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Luis Gustavo Parra Noriega</w:t>
      </w:r>
    </w:p>
    <w:p w14:paraId="0B55A811" w14:textId="77777777" w:rsidR="003512C9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Comisionado</w:t>
      </w:r>
    </w:p>
    <w:sectPr w:rsidR="003512C9" w:rsidRPr="006C76CB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FE5F" w14:textId="77777777" w:rsidR="00715923" w:rsidRDefault="00715923" w:rsidP="00EE29F6">
      <w:pPr>
        <w:spacing w:after="0" w:line="240" w:lineRule="auto"/>
      </w:pPr>
      <w:r>
        <w:separator/>
      </w:r>
    </w:p>
  </w:endnote>
  <w:endnote w:type="continuationSeparator" w:id="0">
    <w:p w14:paraId="2D76E098" w14:textId="77777777" w:rsidR="00715923" w:rsidRDefault="00715923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E960A8" w14:textId="77777777"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273AB">
              <w:rPr>
                <w:b/>
                <w:bCs/>
                <w:noProof/>
              </w:rPr>
              <w:t>1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273AB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E0032" w14:textId="77777777"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BA26" w14:textId="77777777" w:rsidR="00715923" w:rsidRDefault="00715923" w:rsidP="00EE29F6">
      <w:pPr>
        <w:spacing w:after="0" w:line="240" w:lineRule="auto"/>
      </w:pPr>
      <w:r>
        <w:separator/>
      </w:r>
    </w:p>
  </w:footnote>
  <w:footnote w:type="continuationSeparator" w:id="0">
    <w:p w14:paraId="0C2351D4" w14:textId="77777777" w:rsidR="00715923" w:rsidRDefault="00715923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5670"/>
    </w:tblGrid>
    <w:tr w:rsidR="0077694E" w:rsidRPr="001106EA" w14:paraId="27DDF565" w14:textId="77777777" w:rsidTr="000273AB">
      <w:trPr>
        <w:trHeight w:val="1843"/>
      </w:trPr>
      <w:tc>
        <w:tcPr>
          <w:tcW w:w="3227" w:type="dxa"/>
          <w:vAlign w:val="bottom"/>
        </w:tcPr>
        <w:p w14:paraId="4391A163" w14:textId="77777777"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eastAsia="es-ES"/>
            </w:rPr>
            <w:drawing>
              <wp:inline distT="0" distB="0" distL="0" distR="0" wp14:anchorId="4D464461" wp14:editId="1BBA2EAF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E91C3F" w14:textId="77777777"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5670" w:type="dxa"/>
          <w:vAlign w:val="center"/>
        </w:tcPr>
        <w:p w14:paraId="3DED6917" w14:textId="77777777"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14:paraId="57E566C7" w14:textId="77777777" w:rsidR="001106EA" w:rsidRPr="00B9745A" w:rsidRDefault="001106EA" w:rsidP="000273AB">
          <w:pPr>
            <w:pStyle w:val="Encabezado"/>
            <w:ind w:left="-136" w:right="-250" w:firstLine="28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16A4CED1" w14:textId="77777777" w:rsidR="0077694E" w:rsidRPr="00B9745A" w:rsidRDefault="001106EA" w:rsidP="000273AB">
          <w:pPr>
            <w:pStyle w:val="Encabezado"/>
            <w:ind w:left="-108" w:right="28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BA1810">
            <w:rPr>
              <w:rFonts w:ascii="Palatino Linotype" w:hAnsi="Palatino Linotype" w:cs="Tahoma"/>
              <w:b/>
            </w:rPr>
            <w:t>759</w:t>
          </w:r>
          <w:r w:rsidRPr="00B9745A">
            <w:rPr>
              <w:rFonts w:ascii="Palatino Linotype" w:hAnsi="Palatino Linotype" w:cs="Tahoma"/>
              <w:b/>
            </w:rPr>
            <w:t>/INFOEM/IP/RR/2018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  <w:r w:rsidR="00BA1810">
            <w:rPr>
              <w:rFonts w:ascii="Palatino Linotype" w:hAnsi="Palatino Linotype" w:cs="Tahoma"/>
              <w:b/>
            </w:rPr>
            <w:t xml:space="preserve">y acumulados. </w:t>
          </w:r>
        </w:p>
        <w:p w14:paraId="4B9ED854" w14:textId="77777777" w:rsidR="006F754E" w:rsidRPr="001106EA" w:rsidRDefault="006F754E" w:rsidP="000273AB">
          <w:pPr>
            <w:pStyle w:val="Encabezado"/>
            <w:ind w:left="-136" w:right="-250" w:firstLine="28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BA1810">
            <w:rPr>
              <w:rFonts w:ascii="Palatino Linotype" w:hAnsi="Palatino Linotype" w:cs="Tahoma"/>
              <w:b/>
            </w:rPr>
            <w:t>José Guadalupe Luna Hernández</w:t>
          </w:r>
        </w:p>
      </w:tc>
    </w:tr>
  </w:tbl>
  <w:p w14:paraId="091BE63B" w14:textId="77777777"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1090"/>
    <w:multiLevelType w:val="hybridMultilevel"/>
    <w:tmpl w:val="416C3CD8"/>
    <w:lvl w:ilvl="0" w:tplc="080A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5"/>
  </w:num>
  <w:num w:numId="9">
    <w:abstractNumId w:val="11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F6"/>
    <w:rsid w:val="00006F73"/>
    <w:rsid w:val="00020D08"/>
    <w:rsid w:val="0002627D"/>
    <w:rsid w:val="00026846"/>
    <w:rsid w:val="000273AB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A358E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4663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5683"/>
    <w:rsid w:val="006231FF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F5316"/>
    <w:rsid w:val="006F754E"/>
    <w:rsid w:val="00715923"/>
    <w:rsid w:val="00724F08"/>
    <w:rsid w:val="00730CD7"/>
    <w:rsid w:val="007378E2"/>
    <w:rsid w:val="00742A15"/>
    <w:rsid w:val="007468D5"/>
    <w:rsid w:val="00755B2F"/>
    <w:rsid w:val="00767DA9"/>
    <w:rsid w:val="0077694E"/>
    <w:rsid w:val="00796A29"/>
    <w:rsid w:val="007A2D13"/>
    <w:rsid w:val="007D3257"/>
    <w:rsid w:val="007D68AF"/>
    <w:rsid w:val="007F1C1D"/>
    <w:rsid w:val="007F7D80"/>
    <w:rsid w:val="008077D0"/>
    <w:rsid w:val="00831415"/>
    <w:rsid w:val="0083166F"/>
    <w:rsid w:val="00836BC2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AF6870"/>
    <w:rsid w:val="00B068A1"/>
    <w:rsid w:val="00B263C5"/>
    <w:rsid w:val="00B67355"/>
    <w:rsid w:val="00B7393F"/>
    <w:rsid w:val="00B761B1"/>
    <w:rsid w:val="00B9745A"/>
    <w:rsid w:val="00BA1810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7582A"/>
    <w:rsid w:val="00E82F77"/>
    <w:rsid w:val="00E83683"/>
    <w:rsid w:val="00EA7E26"/>
    <w:rsid w:val="00EB7128"/>
    <w:rsid w:val="00EC6DDF"/>
    <w:rsid w:val="00EE29F6"/>
    <w:rsid w:val="00EF482C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8ABB23"/>
  <w15:docId w15:val="{89F6F409-A2C2-46D2-9106-5E2BA25B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1C04-1EE9-4B2D-9F30-526B75ED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Ivette Razo De La Paz</cp:lastModifiedBy>
  <cp:revision>2</cp:revision>
  <cp:lastPrinted>2018-10-01T19:36:00Z</cp:lastPrinted>
  <dcterms:created xsi:type="dcterms:W3CDTF">2018-12-11T06:05:00Z</dcterms:created>
  <dcterms:modified xsi:type="dcterms:W3CDTF">2018-12-11T06:05:00Z</dcterms:modified>
</cp:coreProperties>
</file>